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8994E"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FLEX-TEND</w:t>
      </w:r>
      <w:r>
        <w:rPr>
          <w:rFonts w:ascii="Times New Roman" w:hAnsi="Times New Roman" w:cs="Times New Roman"/>
          <w:b/>
          <w:bCs/>
          <w:sz w:val="13"/>
          <w:szCs w:val="13"/>
        </w:rPr>
        <w:t xml:space="preserve">® </w:t>
      </w:r>
      <w:r>
        <w:rPr>
          <w:rFonts w:ascii="Times New Roman" w:hAnsi="Times New Roman" w:cs="Times New Roman"/>
          <w:b/>
          <w:bCs/>
          <w:sz w:val="20"/>
          <w:szCs w:val="20"/>
        </w:rPr>
        <w:t>FLEXIBLE EXPANSION JOINTS, FEATURES AND SPECIFICATIONS</w:t>
      </w:r>
    </w:p>
    <w:p w14:paraId="1C5E094C" w14:textId="77777777" w:rsidR="0027006D" w:rsidRDefault="0027006D" w:rsidP="0027006D">
      <w:pPr>
        <w:autoSpaceDE w:val="0"/>
        <w:autoSpaceDN w:val="0"/>
        <w:adjustRightInd w:val="0"/>
        <w:rPr>
          <w:rFonts w:ascii="Times New Roman" w:hAnsi="Times New Roman" w:cs="Times New Roman"/>
          <w:b/>
          <w:bCs/>
          <w:sz w:val="20"/>
          <w:szCs w:val="20"/>
        </w:rPr>
      </w:pPr>
    </w:p>
    <w:p w14:paraId="5E9778C8"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INTRODUCTION</w:t>
      </w:r>
    </w:p>
    <w:p w14:paraId="74017821"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FLEX-TEND</w:t>
      </w:r>
      <w:r>
        <w:rPr>
          <w:rFonts w:ascii="Times New Roman" w:hAnsi="Times New Roman" w:cs="Times New Roman"/>
          <w:sz w:val="20"/>
          <w:szCs w:val="20"/>
          <w:vertAlign w:val="superscript"/>
        </w:rPr>
        <w:t>®</w:t>
      </w:r>
      <w:r>
        <w:rPr>
          <w:rFonts w:ascii="Times New Roman" w:hAnsi="Times New Roman" w:cs="Times New Roman"/>
          <w:sz w:val="10"/>
          <w:szCs w:val="10"/>
        </w:rPr>
        <w:t xml:space="preserve"> </w:t>
      </w:r>
      <w:r>
        <w:rPr>
          <w:rFonts w:ascii="Times New Roman" w:hAnsi="Times New Roman" w:cs="Times New Roman"/>
          <w:sz w:val="20"/>
          <w:szCs w:val="20"/>
        </w:rPr>
        <w:t>flexible expansion joints are designed to protect structures and pipelines from differential movement whether this movement is earthquake induced or the gradual motion of soil subsidence. This bulletin offers a concise listing and discussion of the important features and materials of the double and single ball assemblies.</w:t>
      </w:r>
    </w:p>
    <w:p w14:paraId="776A8445" w14:textId="77777777" w:rsidR="0027006D" w:rsidRDefault="0027006D" w:rsidP="0027006D">
      <w:pPr>
        <w:autoSpaceDE w:val="0"/>
        <w:autoSpaceDN w:val="0"/>
        <w:adjustRightInd w:val="0"/>
        <w:rPr>
          <w:rFonts w:ascii="Times New Roman" w:hAnsi="Times New Roman" w:cs="Times New Roman"/>
          <w:sz w:val="20"/>
          <w:szCs w:val="20"/>
        </w:rPr>
      </w:pPr>
    </w:p>
    <w:p w14:paraId="4C6135B0"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GENERAL CONFIGURATIONS</w:t>
      </w:r>
    </w:p>
    <w:p w14:paraId="32858AF7" w14:textId="50D9E3F3" w:rsidR="0027006D" w:rsidRP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FLEX-TEND product line is offered in both double and single ball configurations. Both assemblies</w:t>
      </w:r>
      <w:r w:rsidR="00CF2908">
        <w:rPr>
          <w:rFonts w:ascii="Times New Roman" w:hAnsi="Times New Roman" w:cs="Times New Roman"/>
          <w:sz w:val="20"/>
          <w:szCs w:val="20"/>
        </w:rPr>
        <w:t xml:space="preserve"> </w:t>
      </w:r>
      <w:r>
        <w:rPr>
          <w:rFonts w:ascii="Times New Roman" w:hAnsi="Times New Roman" w:cs="Times New Roman"/>
          <w:sz w:val="20"/>
          <w:szCs w:val="20"/>
        </w:rPr>
        <w:t>provide expansion capacity integral to the deflection capability of the ball and socket. These units are available in the 2” through 48” nominal size range. All FLEX-TEND assemblies are capable of a minimum 12° deflection from center per ball joint as well as having variable expansion capacity.</w:t>
      </w:r>
    </w:p>
    <w:p w14:paraId="4830E233" w14:textId="77777777" w:rsidR="0027006D" w:rsidRDefault="0027006D" w:rsidP="0027006D">
      <w:pPr>
        <w:autoSpaceDE w:val="0"/>
        <w:autoSpaceDN w:val="0"/>
        <w:adjustRightInd w:val="0"/>
        <w:rPr>
          <w:rFonts w:ascii="Times New Roman" w:hAnsi="Times New Roman" w:cs="Times New Roman"/>
          <w:sz w:val="20"/>
          <w:szCs w:val="20"/>
        </w:rPr>
      </w:pPr>
    </w:p>
    <w:p w14:paraId="16628869"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double ball FLEX-TEND joint provides shear relief for connections to structures with its ability to offset in any plane. This is accomplished by the use of two ball and socket pairs separated by an expansion joint. As the offset motion occurs, the expansion joint provides the required increase or decrease in length, thus relieving axial strain on the line and structure. This configuration has been used successfully on connections to tanks, buildings, bridges, and other structures.</w:t>
      </w:r>
    </w:p>
    <w:p w14:paraId="5D17DB5E" w14:textId="77777777" w:rsidR="0027006D" w:rsidRDefault="0027006D" w:rsidP="0027006D">
      <w:pPr>
        <w:autoSpaceDE w:val="0"/>
        <w:autoSpaceDN w:val="0"/>
        <w:adjustRightInd w:val="0"/>
        <w:rPr>
          <w:rFonts w:ascii="Times New Roman" w:hAnsi="Times New Roman" w:cs="Times New Roman"/>
          <w:sz w:val="20"/>
          <w:szCs w:val="20"/>
        </w:rPr>
      </w:pPr>
    </w:p>
    <w:p w14:paraId="774779F7"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The single ball FLEX-TEND assembly is applicable on installations where protection from bending moments and axial strains is warranted. As the name suggests, this assembly consists of one ball and socket pair with an integral expansion joint. When used in installations such as pipelines crossing soils subject to subsidence or liquefaction, the rotation of the ball acts to relieve bending stress while the expansion joint provides the necessary increase in length. Because the design of the single ball unit is very specific in its intent, please keep in mind that the single ball unit is </w:t>
      </w:r>
      <w:r>
        <w:rPr>
          <w:rFonts w:ascii="Times New Roman" w:hAnsi="Times New Roman" w:cs="Times New Roman"/>
          <w:b/>
          <w:sz w:val="20"/>
          <w:szCs w:val="20"/>
          <w:u w:val="single"/>
        </w:rPr>
        <w:t>NOT</w:t>
      </w:r>
      <w:r>
        <w:rPr>
          <w:rFonts w:ascii="Times New Roman" w:hAnsi="Times New Roman" w:cs="Times New Roman"/>
          <w:sz w:val="20"/>
          <w:szCs w:val="20"/>
        </w:rPr>
        <w:t xml:space="preserve"> an adequate substitute for the double ball unit.  </w:t>
      </w:r>
    </w:p>
    <w:p w14:paraId="0C1EEA40" w14:textId="77777777" w:rsidR="0027006D" w:rsidRDefault="0027006D" w:rsidP="0027006D">
      <w:pPr>
        <w:autoSpaceDE w:val="0"/>
        <w:autoSpaceDN w:val="0"/>
        <w:adjustRightInd w:val="0"/>
        <w:rPr>
          <w:rFonts w:ascii="Times New Roman" w:hAnsi="Times New Roman" w:cs="Times New Roman"/>
          <w:sz w:val="20"/>
          <w:szCs w:val="20"/>
        </w:rPr>
      </w:pPr>
    </w:p>
    <w:p w14:paraId="190D53EC"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If shear relief beyond the capability of a standard double-ball configuration is needed, two single ball units separated by a sufficient length of pipe is an option. As seen in the accompanying line drawing, the single and double ball configurations have many components in common. The following discussion of materials and construction is applicable to both with exceptions noted.</w:t>
      </w:r>
    </w:p>
    <w:p w14:paraId="2F5940D4" w14:textId="77777777" w:rsidR="0027006D" w:rsidRDefault="0027006D" w:rsidP="0027006D">
      <w:pPr>
        <w:autoSpaceDE w:val="0"/>
        <w:autoSpaceDN w:val="0"/>
        <w:adjustRightInd w:val="0"/>
        <w:rPr>
          <w:rFonts w:ascii="Times New Roman" w:hAnsi="Times New Roman" w:cs="Times New Roman"/>
          <w:sz w:val="20"/>
          <w:szCs w:val="20"/>
        </w:rPr>
      </w:pPr>
    </w:p>
    <w:p w14:paraId="0E18D26C"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FEATURES</w:t>
      </w:r>
    </w:p>
    <w:p w14:paraId="694D1EB2"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After the completion of the FLEX-TEND assembly process and visual inspection, each assembly is hydrostatically tested to its rated pressure of 350 psi in the 3” through 24” sizes, and 250 psi in the larger sizes. The unit is then cleaned, the exterior coating touched up, and banded to a shipping skid. After another inspection, a set of installation instructions and any gaskets needed for the end connections are placed inside. Also included is an eight mil. polyethylene tube for buried applications. The use of the polyethylene cover not only offers corrosion protection, but also reduces the soils frictional resistance to movement. An end cover is then added for protection during shipping and a sticker showing the units model number and other information is applied for the convenience of the user.</w:t>
      </w:r>
    </w:p>
    <w:p w14:paraId="4E9F8BF9" w14:textId="77777777" w:rsidR="0027006D" w:rsidRDefault="0027006D" w:rsidP="0027006D">
      <w:pPr>
        <w:autoSpaceDE w:val="0"/>
        <w:autoSpaceDN w:val="0"/>
        <w:adjustRightInd w:val="0"/>
        <w:rPr>
          <w:rFonts w:ascii="Times New Roman" w:hAnsi="Times New Roman" w:cs="Times New Roman"/>
          <w:sz w:val="20"/>
          <w:szCs w:val="20"/>
        </w:rPr>
      </w:pPr>
    </w:p>
    <w:p w14:paraId="59C9AC38"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Although the FLEX-TEND joint has the capacity for considerable movement, it is also similar to other pipeline fittings in many ways. The unit is suitable for direct bury without the need of a vault. In some cases, the use of a vault or similar structure may impede the motion of the assembly. If future monitoring of the unit is required, or if the use of the vault is necessary, the design of the vault must be such that it does not hinder the performance of the assembly. Another similarity between the FLEX-TEND joint and an ordinary fitting is that routine maintenance is not required. There are no packaging chambers to adjust and no pressurized seals to refill. Install it, bury it, and forget it, the unit is designed to be trouble free.</w:t>
      </w:r>
    </w:p>
    <w:p w14:paraId="28E0B53D" w14:textId="77777777" w:rsidR="0027006D" w:rsidRDefault="0027006D" w:rsidP="0027006D">
      <w:pPr>
        <w:autoSpaceDE w:val="0"/>
        <w:autoSpaceDN w:val="0"/>
        <w:adjustRightInd w:val="0"/>
        <w:rPr>
          <w:rFonts w:ascii="Times New Roman" w:hAnsi="Times New Roman" w:cs="Times New Roman"/>
          <w:sz w:val="20"/>
          <w:szCs w:val="20"/>
        </w:rPr>
      </w:pPr>
    </w:p>
    <w:p w14:paraId="4F95B748"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All Flex-Tend configurations are FM approved in sizes 3” through 16”.</w:t>
      </w:r>
    </w:p>
    <w:p w14:paraId="3DA521FE" w14:textId="77777777" w:rsidR="0027006D" w:rsidRDefault="0027006D" w:rsidP="0027006D"/>
    <w:p w14:paraId="0315E924"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lastRenderedPageBreak/>
        <w:t>COATINGS</w:t>
      </w:r>
    </w:p>
    <w:p w14:paraId="7A9DB1B6" w14:textId="73468E6B"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All interior or “wetted” surfaces, and seal contact surfaces are coated with a minimum of 15 mils of fusion bonded epoxy. This coating complies with the material requirements of ANSI/AWWA C213</w:t>
      </w:r>
      <w:r w:rsidR="00556ED5">
        <w:rPr>
          <w:rFonts w:ascii="Times New Roman" w:hAnsi="Times New Roman" w:cs="Times New Roman"/>
          <w:sz w:val="20"/>
          <w:szCs w:val="20"/>
        </w:rPr>
        <w:t>, NSF61</w:t>
      </w:r>
      <w:r>
        <w:rPr>
          <w:rFonts w:ascii="Times New Roman" w:hAnsi="Times New Roman" w:cs="Times New Roman"/>
          <w:sz w:val="20"/>
          <w:szCs w:val="20"/>
        </w:rPr>
        <w:t xml:space="preserve"> and is holiday free as tested by a 1500-volt spark test per C213. All exterior surfaces are coated with a minimum of 6 mils of fusion bonded epoxy conforming to the applicable requirements of ANSI/AWWA C116/A21.16 and NSF61.</w:t>
      </w:r>
    </w:p>
    <w:p w14:paraId="0EB796B2" w14:textId="77777777" w:rsidR="0027006D" w:rsidRDefault="0027006D" w:rsidP="0027006D">
      <w:pPr>
        <w:autoSpaceDE w:val="0"/>
        <w:autoSpaceDN w:val="0"/>
        <w:adjustRightInd w:val="0"/>
        <w:rPr>
          <w:rFonts w:ascii="Times New Roman" w:hAnsi="Times New Roman" w:cs="Times New Roman"/>
          <w:sz w:val="20"/>
          <w:szCs w:val="20"/>
        </w:rPr>
      </w:pPr>
    </w:p>
    <w:p w14:paraId="341CF3B8"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END CONNECTIONS</w:t>
      </w:r>
    </w:p>
    <w:p w14:paraId="55BEB781"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standard end connections of the FLEX-TEND joint are the mechanical joint (3” through 24” sizes) and flange (all sizes). Mechanical joint end connections conform to ANSI/AWWA C111/A21.11. Installation follows that of ANSI/AWWA C600 which is the standard for the installation of all mechanical joint pipe and fittings. Other end connections may be available as a special-order item.</w:t>
      </w:r>
    </w:p>
    <w:p w14:paraId="1092ABA7" w14:textId="77777777" w:rsidR="0027006D" w:rsidRDefault="0027006D" w:rsidP="0027006D">
      <w:pPr>
        <w:autoSpaceDE w:val="0"/>
        <w:autoSpaceDN w:val="0"/>
        <w:adjustRightInd w:val="0"/>
        <w:rPr>
          <w:rFonts w:ascii="Times New Roman" w:hAnsi="Times New Roman" w:cs="Times New Roman"/>
          <w:sz w:val="20"/>
          <w:szCs w:val="20"/>
        </w:rPr>
      </w:pPr>
    </w:p>
    <w:p w14:paraId="65CFECB3"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Flanged end connections follow the dimensions of ANSI/AWWA C110/A21.10 which is the same template as ANSI B16.5 class 150 without the raised face. An O-ring groove is machined into the face of the flange and an O-ring is supplied for a more positive seal than that of standard flange gaskets. This O-ring seal must be mated with a flat face.</w:t>
      </w:r>
    </w:p>
    <w:p w14:paraId="74B8705B" w14:textId="77777777" w:rsidR="0027006D" w:rsidRDefault="0027006D" w:rsidP="0027006D">
      <w:pPr>
        <w:autoSpaceDE w:val="0"/>
        <w:autoSpaceDN w:val="0"/>
        <w:adjustRightInd w:val="0"/>
        <w:rPr>
          <w:rFonts w:ascii="Times New Roman" w:hAnsi="Times New Roman" w:cs="Times New Roman"/>
          <w:sz w:val="20"/>
          <w:szCs w:val="20"/>
        </w:rPr>
      </w:pPr>
    </w:p>
    <w:p w14:paraId="62BB5163"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To enable the FLEX-TEND joint to absorb motion, it must be restrained to the adjacent piping so that any movement of the pipeline can be transferred to and be absorbed by the FLEX-TEND product. All other joints and fittings within the area must also be restrained. EBAA Iron produces a wide variety of restraining materials and our sales personnel are pleased to be of assistance in selecting the proper device.</w:t>
      </w:r>
    </w:p>
    <w:p w14:paraId="6B34329E" w14:textId="77777777" w:rsidR="0027006D" w:rsidRDefault="0027006D" w:rsidP="0027006D">
      <w:pPr>
        <w:autoSpaceDE w:val="0"/>
        <w:autoSpaceDN w:val="0"/>
        <w:adjustRightInd w:val="0"/>
        <w:rPr>
          <w:rFonts w:ascii="Times New Roman" w:hAnsi="Times New Roman" w:cs="Times New Roman"/>
          <w:sz w:val="20"/>
          <w:szCs w:val="20"/>
        </w:rPr>
      </w:pPr>
    </w:p>
    <w:p w14:paraId="4C86D594"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EXPANSION</w:t>
      </w:r>
    </w:p>
    <w:p w14:paraId="6BBC641B"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The expansion capacity of the FLEX-TEND assembly can be varied between 4” and 12” on the 3” through 12” sizes in increments of 4”. The 14” through 36” sizes can be provided with 8” to 24” of expansion in 8” increments. The larger sizes have a standard of 24” expansion travel. The standard setting for the expansion is 50/50 with half of the capacity available for expansion and half for contraction. The units can be ordered with an alternate expansion setting or the setting can be easily adjusted in the field. The increase in expansion capacity is accomplished by the utilization of additional expansion sleeves. Although more easily inserted during initial assembly, the additional sleeves can also be added in the field at a later date. </w:t>
      </w:r>
    </w:p>
    <w:p w14:paraId="35595BBE" w14:textId="77777777" w:rsidR="0027006D" w:rsidRDefault="0027006D" w:rsidP="0027006D">
      <w:pPr>
        <w:autoSpaceDE w:val="0"/>
        <w:autoSpaceDN w:val="0"/>
        <w:adjustRightInd w:val="0"/>
        <w:rPr>
          <w:rFonts w:ascii="Times New Roman" w:hAnsi="Times New Roman" w:cs="Times New Roman"/>
          <w:sz w:val="20"/>
          <w:szCs w:val="20"/>
        </w:rPr>
      </w:pPr>
    </w:p>
    <w:p w14:paraId="40214C49"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An important aspect of the addition of expansion sleeves is the associated increase in the distance between the centerlines of the ball joints. This increase in length offers a considerable increase in the offset capability of the double ball configuration. One of the important features of the double ball FLEX-TEND is the incorporation of the expansion joint between the flexible ball joints. This expansion joint, like all expansion joints, acts as a hydraulic cylinder when under pressure. The thrust force generated must be accommodated and can be done by the use of external thrust blocks or other structural considerations.  See Connections Bulletin FT-05 for more information on thrust considerations.</w:t>
      </w:r>
    </w:p>
    <w:p w14:paraId="58785234" w14:textId="77777777" w:rsidR="0027006D" w:rsidRDefault="0027006D" w:rsidP="0027006D">
      <w:pPr>
        <w:autoSpaceDE w:val="0"/>
        <w:autoSpaceDN w:val="0"/>
        <w:adjustRightInd w:val="0"/>
        <w:rPr>
          <w:rFonts w:ascii="Times New Roman" w:hAnsi="Times New Roman" w:cs="Times New Roman"/>
          <w:sz w:val="20"/>
          <w:szCs w:val="20"/>
        </w:rPr>
      </w:pPr>
    </w:p>
    <w:p w14:paraId="1AF66BE3"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MATERIALS</w:t>
      </w:r>
    </w:p>
    <w:p w14:paraId="7A959284" w14:textId="77777777" w:rsidR="0027006D" w:rsidRDefault="0027006D" w:rsidP="0027006D">
      <w:pPr>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IRON</w:t>
      </w:r>
    </w:p>
    <w:p w14:paraId="5722D4DA"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entire FLEX-TEND product line, including pressure vessels and end connections, is cast of Ductile Iron. This material meets or exceeds the requirements of ASTM A536 minimum 60-42-10 and the applicable material requirements of ANSI/AWWA C153/A21.53. Iron chemistry, grain structure, as well as physical properties are closely monitored during the casting process. With its elongation capacity, ductile iron shares many properties of steel and is not to be confused with the relatively weak and brittle characteristics of gray cast iron.</w:t>
      </w:r>
    </w:p>
    <w:p w14:paraId="6E4C959F" w14:textId="77777777" w:rsidR="0027006D" w:rsidRDefault="0027006D" w:rsidP="0027006D">
      <w:pPr>
        <w:autoSpaceDE w:val="0"/>
        <w:autoSpaceDN w:val="0"/>
        <w:adjustRightInd w:val="0"/>
        <w:rPr>
          <w:rFonts w:ascii="Times New Roman" w:hAnsi="Times New Roman" w:cs="Times New Roman"/>
          <w:sz w:val="20"/>
          <w:szCs w:val="20"/>
        </w:rPr>
      </w:pPr>
    </w:p>
    <w:p w14:paraId="0B14DA38" w14:textId="77777777" w:rsidR="0027006D" w:rsidRDefault="0027006D" w:rsidP="0027006D">
      <w:pPr>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SEALS</w:t>
      </w:r>
    </w:p>
    <w:p w14:paraId="3A0447B9" w14:textId="207F8C54"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standard elastomer for the assembly of the FLEX-TEND line is EPDM meeting the applicable material requirements of ANSI/AWWA C111/A21.11</w:t>
      </w:r>
      <w:r w:rsidR="00556ED5">
        <w:rPr>
          <w:rFonts w:ascii="Times New Roman" w:hAnsi="Times New Roman" w:cs="Times New Roman"/>
          <w:sz w:val="20"/>
          <w:szCs w:val="20"/>
        </w:rPr>
        <w:t xml:space="preserve"> and NSF61</w:t>
      </w:r>
      <w:r>
        <w:rPr>
          <w:rFonts w:ascii="Times New Roman" w:hAnsi="Times New Roman" w:cs="Times New Roman"/>
          <w:sz w:val="20"/>
          <w:szCs w:val="20"/>
        </w:rPr>
        <w:t>. Other materials are available for special applications.</w:t>
      </w:r>
    </w:p>
    <w:p w14:paraId="51405295" w14:textId="77777777" w:rsidR="0027006D" w:rsidRDefault="0027006D" w:rsidP="0027006D">
      <w:pPr>
        <w:autoSpaceDE w:val="0"/>
        <w:autoSpaceDN w:val="0"/>
        <w:adjustRightInd w:val="0"/>
        <w:rPr>
          <w:rFonts w:ascii="Times New Roman" w:hAnsi="Times New Roman" w:cs="Times New Roman"/>
          <w:b/>
          <w:bCs/>
          <w:sz w:val="20"/>
          <w:szCs w:val="20"/>
        </w:rPr>
      </w:pPr>
    </w:p>
    <w:p w14:paraId="2BACF7D2" w14:textId="77777777" w:rsidR="0027006D" w:rsidRDefault="0027006D" w:rsidP="00AC78C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SUMMARY</w:t>
      </w:r>
    </w:p>
    <w:p w14:paraId="25ABF707"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attributes of the FLEX-TEND line of flexible expansion joints makes this system ideally suited to the protection of both pipelines and structural connections. Although the benefits are obvious in the mitigation of earthquake damage, the system is not limited to just seismic protection. Pipelines crossing landfills, swamps, and tidal marshes can be protected. Connections to pile supported structures with unsupported piping can also benefit. We invite you</w:t>
      </w:r>
    </w:p>
    <w:p w14:paraId="513082CF" w14:textId="77777777" w:rsidR="0027006D" w:rsidRDefault="0027006D" w:rsidP="0027006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all to call the engineering department at EBAA Iron or your regional Product Support Manager to discuss your application needs.</w:t>
      </w:r>
    </w:p>
    <w:p w14:paraId="4D17330A" w14:textId="77777777" w:rsidR="0027006D" w:rsidRDefault="0027006D" w:rsidP="0027006D"/>
    <w:p w14:paraId="1411B5F8" w14:textId="55DD403B" w:rsidR="00F5776A" w:rsidRDefault="0027006D" w:rsidP="00FE470E">
      <w:pPr>
        <w:rPr>
          <w:rFonts w:ascii="Times New Roman" w:hAnsi="Times New Roman" w:cs="Times New Roman"/>
          <w:sz w:val="20"/>
          <w:szCs w:val="20"/>
        </w:rPr>
      </w:pPr>
      <w:r>
        <w:rPr>
          <w:rFonts w:ascii="Times New Roman" w:hAnsi="Times New Roman" w:cs="Times New Roman"/>
          <w:sz w:val="20"/>
          <w:szCs w:val="20"/>
        </w:rPr>
        <w:t>FLEX-TEND is a Registered Trademark of EBAA Iron, Inc.</w:t>
      </w:r>
    </w:p>
    <w:p w14:paraId="23F5F8EB" w14:textId="77777777" w:rsidR="009E00D9" w:rsidRDefault="009E00D9" w:rsidP="00FE470E">
      <w:pPr>
        <w:rPr>
          <w:rFonts w:ascii="Times New Roman" w:hAnsi="Times New Roman" w:cs="Times New Roman"/>
          <w:sz w:val="20"/>
          <w:szCs w:val="20"/>
        </w:rPr>
      </w:pPr>
      <w:bookmarkStart w:id="0" w:name="_GoBack"/>
      <w:bookmarkEnd w:id="0"/>
    </w:p>
    <w:p w14:paraId="5ACCC400" w14:textId="3AB63089" w:rsidR="00556ED5" w:rsidRPr="0027006D" w:rsidRDefault="00556ED5" w:rsidP="00FE470E">
      <w:pPr>
        <w:rPr>
          <w:rFonts w:ascii="Times New Roman" w:hAnsi="Times New Roman" w:cs="Times New Roman"/>
          <w:sz w:val="20"/>
          <w:szCs w:val="20"/>
        </w:rPr>
      </w:pPr>
      <w:r>
        <w:rPr>
          <w:rFonts w:ascii="Times New Roman" w:hAnsi="Times New Roman" w:cs="Times New Roman"/>
          <w:sz w:val="20"/>
          <w:szCs w:val="20"/>
        </w:rPr>
        <w:t>Rev. B</w:t>
      </w:r>
    </w:p>
    <w:sectPr w:rsidR="00556ED5" w:rsidRPr="0027006D" w:rsidSect="0027006D">
      <w:headerReference w:type="default" r:id="rId7"/>
      <w:footerReference w:type="default" r:id="rId8"/>
      <w:pgSz w:w="12240" w:h="15840"/>
      <w:pgMar w:top="23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B53AC" w14:textId="77777777" w:rsidR="0027006D" w:rsidRDefault="0027006D">
      <w:r>
        <w:separator/>
      </w:r>
    </w:p>
  </w:endnote>
  <w:endnote w:type="continuationSeparator" w:id="0">
    <w:p w14:paraId="48ABD648" w14:textId="77777777" w:rsidR="0027006D" w:rsidRDefault="0027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FFCD6" w14:textId="77777777" w:rsidR="00FE470E" w:rsidRPr="00FE470E" w:rsidRDefault="00FE470E" w:rsidP="00FE470E">
    <w:pPr>
      <w:autoSpaceDE w:val="0"/>
      <w:autoSpaceDN w:val="0"/>
      <w:adjustRightInd w:val="0"/>
      <w:jc w:val="center"/>
      <w:rPr>
        <w:rFonts w:ascii="Arial" w:hAnsi="Arial" w:cs="Arial"/>
        <w:b/>
      </w:rPr>
    </w:pPr>
    <w:r w:rsidRPr="00FE470E">
      <w:rPr>
        <w:rFonts w:ascii="Arial" w:hAnsi="Arial" w:cs="Arial"/>
        <w:b/>
      </w:rPr>
      <w:t xml:space="preserve">EBAA IRON, INC. ● P.O. Box 877 ● Eastland, </w:t>
    </w:r>
    <w:smartTag w:uri="urn:schemas-microsoft-com:office:smarttags" w:element="place">
      <w:smartTag w:uri="urn:schemas-microsoft-com:office:smarttags" w:element="State">
        <w:r w:rsidRPr="00FE470E">
          <w:rPr>
            <w:rFonts w:ascii="Arial" w:hAnsi="Arial" w:cs="Arial"/>
            <w:b/>
          </w:rPr>
          <w:t>Texas</w:t>
        </w:r>
      </w:smartTag>
    </w:smartTag>
    <w:r w:rsidRPr="00FE470E">
      <w:rPr>
        <w:rFonts w:ascii="Arial" w:hAnsi="Arial" w:cs="Arial"/>
        <w:b/>
      </w:rPr>
      <w:t xml:space="preserve"> 76448 ● contact@ebaa.com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3C16D" w14:textId="77777777" w:rsidR="0027006D" w:rsidRDefault="0027006D">
      <w:r>
        <w:separator/>
      </w:r>
    </w:p>
  </w:footnote>
  <w:footnote w:type="continuationSeparator" w:id="0">
    <w:p w14:paraId="5844CEAC" w14:textId="77777777" w:rsidR="0027006D" w:rsidRDefault="00270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3413D" w14:textId="77777777" w:rsidR="00FE470E" w:rsidRPr="00FE470E" w:rsidRDefault="00F5776A" w:rsidP="00FE470E">
    <w:pPr>
      <w:pStyle w:val="Header"/>
      <w:jc w:val="right"/>
      <w:rPr>
        <w:rFonts w:ascii="Arial" w:hAnsi="Arial" w:cs="Arial"/>
        <w:b/>
      </w:rPr>
    </w:pPr>
    <w:r w:rsidRPr="00FE470E">
      <w:rPr>
        <w:rFonts w:ascii="Arial" w:hAnsi="Arial" w:cs="Arial"/>
        <w:b/>
        <w:noProof/>
      </w:rPr>
      <w:drawing>
        <wp:anchor distT="0" distB="0" distL="114300" distR="114300" simplePos="0" relativeHeight="251657728" behindDoc="0" locked="0" layoutInCell="1" allowOverlap="1" wp14:anchorId="740BFFAD" wp14:editId="0B5C80EB">
          <wp:simplePos x="0" y="0"/>
          <wp:positionH relativeFrom="column">
            <wp:posOffset>0</wp:posOffset>
          </wp:positionH>
          <wp:positionV relativeFrom="paragraph">
            <wp:posOffset>0</wp:posOffset>
          </wp:positionV>
          <wp:extent cx="1371600" cy="758825"/>
          <wp:effectExtent l="0" t="0" r="0" b="3175"/>
          <wp:wrapSquare wrapText="bothSides"/>
          <wp:docPr id="11" name="Picture 11" descr="EBAA Logo w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AA Logo w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E470E" w:rsidRPr="00FE470E">
      <w:rPr>
        <w:rFonts w:ascii="Arial" w:hAnsi="Arial" w:cs="Arial"/>
        <w:b/>
      </w:rPr>
      <w:t>Wats: (800) 633-9190</w:t>
    </w:r>
  </w:p>
  <w:p w14:paraId="6E0A8306" w14:textId="77777777" w:rsidR="00FE470E" w:rsidRPr="00FE470E" w:rsidRDefault="00FE470E" w:rsidP="00FE470E">
    <w:pPr>
      <w:pStyle w:val="Header"/>
      <w:jc w:val="right"/>
      <w:rPr>
        <w:rFonts w:ascii="Arial" w:hAnsi="Arial" w:cs="Arial"/>
        <w:b/>
      </w:rPr>
    </w:pPr>
    <w:r w:rsidRPr="00FE470E">
      <w:rPr>
        <w:rFonts w:ascii="Arial" w:hAnsi="Arial" w:cs="Arial"/>
        <w:b/>
      </w:rPr>
      <w:t>Phone: (254) 629-1737</w:t>
    </w:r>
  </w:p>
  <w:p w14:paraId="2451610D" w14:textId="77777777" w:rsidR="00FE470E" w:rsidRPr="00FE470E" w:rsidRDefault="00FE470E" w:rsidP="00FE470E">
    <w:pPr>
      <w:pStyle w:val="Header"/>
      <w:jc w:val="right"/>
      <w:rPr>
        <w:rFonts w:ascii="Arial" w:hAnsi="Arial" w:cs="Arial"/>
        <w:b/>
      </w:rPr>
    </w:pPr>
    <w:r w:rsidRPr="00FE470E">
      <w:rPr>
        <w:rFonts w:ascii="Arial" w:hAnsi="Arial" w:cs="Arial"/>
        <w:b/>
      </w:rPr>
      <w:t>Fax: (254) 629-2910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C224D"/>
    <w:multiLevelType w:val="hybridMultilevel"/>
    <w:tmpl w:val="A3489D2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F8616FB"/>
    <w:multiLevelType w:val="hybridMultilevel"/>
    <w:tmpl w:val="825C905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06D"/>
    <w:rsid w:val="001070FB"/>
    <w:rsid w:val="00124BCD"/>
    <w:rsid w:val="00184517"/>
    <w:rsid w:val="0019706B"/>
    <w:rsid w:val="001C6C40"/>
    <w:rsid w:val="001F3371"/>
    <w:rsid w:val="002657E6"/>
    <w:rsid w:val="0027006D"/>
    <w:rsid w:val="0038233E"/>
    <w:rsid w:val="003873F7"/>
    <w:rsid w:val="003925C2"/>
    <w:rsid w:val="003B116B"/>
    <w:rsid w:val="003F6F92"/>
    <w:rsid w:val="00415BA2"/>
    <w:rsid w:val="00420200"/>
    <w:rsid w:val="004366DD"/>
    <w:rsid w:val="004A052D"/>
    <w:rsid w:val="004F64BD"/>
    <w:rsid w:val="005231FE"/>
    <w:rsid w:val="00556ED5"/>
    <w:rsid w:val="00591282"/>
    <w:rsid w:val="00614E0E"/>
    <w:rsid w:val="006913DD"/>
    <w:rsid w:val="00697A3E"/>
    <w:rsid w:val="00727E41"/>
    <w:rsid w:val="00740084"/>
    <w:rsid w:val="007D7620"/>
    <w:rsid w:val="00832E57"/>
    <w:rsid w:val="00847006"/>
    <w:rsid w:val="00875212"/>
    <w:rsid w:val="00875F14"/>
    <w:rsid w:val="00881CCF"/>
    <w:rsid w:val="00882EA1"/>
    <w:rsid w:val="008E423D"/>
    <w:rsid w:val="00931E86"/>
    <w:rsid w:val="009E00D9"/>
    <w:rsid w:val="009E0B49"/>
    <w:rsid w:val="00A829AC"/>
    <w:rsid w:val="00AC78C9"/>
    <w:rsid w:val="00AE450C"/>
    <w:rsid w:val="00B03AE1"/>
    <w:rsid w:val="00B3237C"/>
    <w:rsid w:val="00B47D1C"/>
    <w:rsid w:val="00CD1047"/>
    <w:rsid w:val="00CE4AE1"/>
    <w:rsid w:val="00CF2908"/>
    <w:rsid w:val="00D11440"/>
    <w:rsid w:val="00D4376C"/>
    <w:rsid w:val="00D85884"/>
    <w:rsid w:val="00D91131"/>
    <w:rsid w:val="00D955B6"/>
    <w:rsid w:val="00DE7EF8"/>
    <w:rsid w:val="00E304AF"/>
    <w:rsid w:val="00E83B4C"/>
    <w:rsid w:val="00ED2F92"/>
    <w:rsid w:val="00F04563"/>
    <w:rsid w:val="00F4369B"/>
    <w:rsid w:val="00F5776A"/>
    <w:rsid w:val="00FA174C"/>
    <w:rsid w:val="00FA1EDD"/>
    <w:rsid w:val="00FA75F2"/>
    <w:rsid w:val="00FE0A97"/>
    <w:rsid w:val="00FE470E"/>
    <w:rsid w:val="00FF4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76CA6E97"/>
  <w15:chartTrackingRefBased/>
  <w15:docId w15:val="{BF8F865B-AF5E-4B7D-AB89-B627C7DA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006D"/>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70E"/>
    <w:pPr>
      <w:tabs>
        <w:tab w:val="center" w:pos="4320"/>
        <w:tab w:val="right" w:pos="8640"/>
      </w:tabs>
    </w:pPr>
    <w:rPr>
      <w:rFonts w:ascii="Times New Roman" w:eastAsia="Times New Roman" w:hAnsi="Times New Roman" w:cs="Times New Roman"/>
      <w:sz w:val="24"/>
      <w:szCs w:val="24"/>
    </w:rPr>
  </w:style>
  <w:style w:type="paragraph" w:styleId="Footer">
    <w:name w:val="footer"/>
    <w:basedOn w:val="Normal"/>
    <w:rsid w:val="00FE470E"/>
    <w:pPr>
      <w:tabs>
        <w:tab w:val="center" w:pos="4320"/>
        <w:tab w:val="right" w:pos="8640"/>
      </w:tabs>
    </w:pPr>
    <w:rPr>
      <w:rFonts w:ascii="Times New Roman" w:eastAsia="Times New Roman" w:hAnsi="Times New Roman" w:cs="Times New Roman"/>
      <w:sz w:val="24"/>
      <w:szCs w:val="24"/>
    </w:rPr>
  </w:style>
  <w:style w:type="character" w:styleId="Hyperlink">
    <w:name w:val="Hyperlink"/>
    <w:basedOn w:val="DefaultParagraphFont"/>
    <w:rsid w:val="003925C2"/>
    <w:rPr>
      <w:color w:val="0000FF"/>
      <w:u w:val="single"/>
    </w:rPr>
  </w:style>
  <w:style w:type="character" w:styleId="FollowedHyperlink">
    <w:name w:val="FollowedHyperlink"/>
    <w:basedOn w:val="DefaultParagraphFont"/>
    <w:rsid w:val="003B116B"/>
    <w:rPr>
      <w:color w:val="800080"/>
      <w:u w:val="single"/>
    </w:rPr>
  </w:style>
  <w:style w:type="paragraph" w:styleId="BalloonText">
    <w:name w:val="Balloon Text"/>
    <w:basedOn w:val="Normal"/>
    <w:semiHidden/>
    <w:rsid w:val="00124BC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73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kR\Documents\Custom%20Office%20Templates\Leaderhead%20EBAA%20Ir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Leaderhead EBAA Iron</Template>
  <TotalTime>8</TotalTime>
  <Pages>3</Pages>
  <Words>1344</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April 17, 2007</vt:lpstr>
    </vt:vector>
  </TitlesOfParts>
  <Company>EBAA Iron, Inc.</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FT-01 Linked Word File</dc:title>
  <dc:subject/>
  <dc:creator>Rick Rackow</dc:creator>
  <cp:keywords>FT-01;link</cp:keywords>
  <dc:description/>
  <cp:lastModifiedBy>Rick Rackow</cp:lastModifiedBy>
  <cp:revision>5</cp:revision>
  <cp:lastPrinted>2007-09-28T20:14:00Z</cp:lastPrinted>
  <dcterms:created xsi:type="dcterms:W3CDTF">2018-02-15T19:11:00Z</dcterms:created>
  <dcterms:modified xsi:type="dcterms:W3CDTF">2018-02-26T20:38:00Z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-1485298153</vt:i4>
  </property>
  <property fmtid="{D5CDD505-2E9C-101B-9397-08002B2CF9AE}" pid="3" name="_EmailSubject">
    <vt:lpwstr>Letter Head</vt:lpwstr>
  </property>
  <property fmtid="{D5CDD505-2E9C-101B-9397-08002B2CF9AE}" pid="4" name="_AuthorEmail">
    <vt:lpwstr>seans@ebaa.com</vt:lpwstr>
  </property>
  <property fmtid="{D5CDD505-2E9C-101B-9397-08002B2CF9AE}" pid="5" name="_AuthorEmailDisplayName">
    <vt:lpwstr>Sean Schaefer</vt:lpwstr>
  </property>
  <property fmtid="{D5CDD505-2E9C-101B-9397-08002B2CF9AE}" pid="6" name="_PreviousAdHocReviewCycleID">
    <vt:i4>-1911415538</vt:i4>
  </property>
  <property fmtid="{D5CDD505-2E9C-101B-9397-08002B2CF9AE}" pid="7" name="_ReviewingToolsShownOnce">
    <vt:lpwstr/>
  </property>
</Properties>
</file>